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0"/>
      </w:pPr>
    </w:p>
    <w:p>
      <w:pPr>
        <w:spacing w:before="0" w:after="160"/>
        <w:jc w:val="left"/>
      </w:pPr>
      <w:r>
        <w:rPr>
          <w:rFonts w:ascii="Arial" w:hAnsi="Arial"/>
          <w:b/>
          <w:color w:val="E84C18"/>
          <w:sz w:val="16"/>
        </w:rPr>
        <w:t>LINHA ARENA · PRODUTO 18 · MEDIA KIT</w:t>
      </w:r>
    </w:p>
    <w:p>
      <w:pPr>
        <w:keepNext/>
        <w:spacing w:after="200"/>
        <w:jc w:val="left"/>
      </w:pPr>
      <w:r>
        <w:rPr>
          <w:rFonts w:ascii="Arial" w:hAnsi="Arial"/>
          <w:b/>
          <w:color w:val="101010"/>
          <w:sz w:val="66"/>
        </w:rPr>
        <w:t>IMPARÁVEL</w:t>
      </w:r>
    </w:p>
    <w:p>
      <w:pPr>
        <w:spacing w:after="280"/>
      </w:pPr>
      <w:r>
        <w:rPr>
          <w:rFonts w:ascii="Arial" w:hAnsi="Arial"/>
          <w:b/>
          <w:color w:val="E84C18"/>
          <w:sz w:val="30"/>
        </w:rPr>
        <w:t>Narrativa, fact sheet, ângulos editoriais e três comunicados</w:t>
      </w:r>
    </w:p>
    <w:p>
      <w:pPr>
        <w:spacing w:after="400"/>
      </w:pPr>
      <w:r>
        <w:rPr>
          <w:rFonts w:ascii="Arial" w:hAnsi="Arial"/>
          <w:b w:val="0"/>
          <w:i/>
          <w:color w:val="66625C"/>
          <w:sz w:val="21"/>
        </w:rPr>
        <w:t>A tua ambição não pode continuar refém da tua bateria.</w:t>
      </w:r>
    </w:p>
    <w:p>
      <w:r>
        <w:drawing>
          <wp:inline xmlns:a="http://schemas.openxmlformats.org/drawingml/2006/main" xmlns:pic="http://schemas.openxmlformats.org/drawingml/2006/picture">
            <wp:extent cx="5943600" cy="2763774"/>
            <wp:docPr id="1" name="Picture 1" descr="Retrato editorial fornecido para IMPARÁVEL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8-media-kit-cover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6377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rFonts w:ascii="Arial" w:hAnsi="Arial"/>
          <w:b/>
          <w:color w:val="66625C"/>
          <w:sz w:val="16"/>
        </w:rPr>
        <w:t>VERSÃO DE PRODUÇÃO · AGOSTO 2026</w:t>
      </w:r>
    </w:p>
    <w:p>
      <w:r>
        <w:br w:type="page"/>
      </w:r>
    </w:p>
    <w:p>
      <w:pPr>
        <w:spacing w:before="0" w:after="160"/>
        <w:jc w:val="left"/>
      </w:pPr>
      <w:r>
        <w:rPr>
          <w:rFonts w:ascii="Arial" w:hAnsi="Arial"/>
          <w:b/>
          <w:color w:val="E84C18"/>
          <w:sz w:val="16"/>
        </w:rPr>
        <w:t>IMPARÁVEL · 02</w:t>
      </w:r>
    </w:p>
    <w:p>
      <w:pPr>
        <w:keepNext/>
        <w:spacing w:after="120"/>
        <w:jc w:val="left"/>
      </w:pPr>
      <w:r>
        <w:rPr>
          <w:rFonts w:ascii="Arial" w:hAnsi="Arial"/>
          <w:b/>
          <w:color w:val="101010"/>
          <w:sz w:val="50"/>
        </w:rPr>
        <w:t>A experiência em 60 segundos</w:t>
      </w:r>
    </w:p>
    <w:p>
      <w:pPr>
        <w:spacing w:after="320"/>
      </w:pPr>
      <w:r>
        <w:rPr>
          <w:rFonts w:ascii="Arial" w:hAnsi="Arial"/>
          <w:b w:val="0"/>
          <w:i w:val="0"/>
          <w:color w:val="66625C"/>
          <w:sz w:val="21"/>
        </w:rPr>
        <w:t>Em dois dias, mapear fugas de energia, testar protocolos curtos de estado e sair com um sistema diário de recuperação, foco e execução.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A tua ambição não pode continuar refém da tua bateria.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Método proprietário: ENERGIA EM AÇÃO.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Integração: 6 semanas, 22 aulas e desafios educativos de consolidação.</w:t>
      </w:r>
    </w:p>
    <w:p>
      <w:r>
        <w:br w:type="page"/>
      </w:r>
    </w:p>
    <w:p>
      <w:pPr>
        <w:spacing w:before="0" w:after="160"/>
        <w:jc w:val="left"/>
      </w:pPr>
      <w:r>
        <w:rPr>
          <w:rFonts w:ascii="Arial" w:hAnsi="Arial"/>
          <w:b/>
          <w:color w:val="E84C18"/>
          <w:sz w:val="16"/>
        </w:rPr>
        <w:t>IMPARÁVEL · 03</w:t>
      </w:r>
    </w:p>
    <w:p>
      <w:pPr>
        <w:keepNext/>
        <w:spacing w:after="120"/>
        <w:jc w:val="left"/>
      </w:pPr>
      <w:r>
        <w:rPr>
          <w:rFonts w:ascii="Arial" w:hAnsi="Arial"/>
          <w:b/>
          <w:color w:val="101010"/>
          <w:sz w:val="50"/>
        </w:rPr>
        <w:t>Porque existe agora</w:t>
      </w:r>
    </w:p>
    <w:p>
      <w:pPr>
        <w:spacing w:after="320"/>
      </w:pPr>
      <w:r>
        <w:rPr>
          <w:rFonts w:ascii="Arial" w:hAnsi="Arial"/>
          <w:b w:val="0"/>
          <w:i w:val="0"/>
          <w:color w:val="66625C"/>
          <w:sz w:val="21"/>
        </w:rPr>
        <w:t>O evento responde à distância entre saber e executar.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Pressão, transição e fadiga decisória atravessam públicos diferentes.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A proposta usa dramaturgia e participação para tornar o padrão visível.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O resultado responsável é um plano e objetos concretos - não uma garantia de transformação.</w:t>
      </w:r>
    </w:p>
    <w:p>
      <w:r>
        <w:br w:type="page"/>
      </w:r>
    </w:p>
    <w:p>
      <w:pPr>
        <w:spacing w:before="0" w:after="160"/>
        <w:jc w:val="left"/>
      </w:pPr>
      <w:r>
        <w:rPr>
          <w:rFonts w:ascii="Arial" w:hAnsi="Arial"/>
          <w:b/>
          <w:color w:val="E84C18"/>
          <w:sz w:val="16"/>
        </w:rPr>
        <w:t>IMPARÁVEL · 04</w:t>
      </w:r>
    </w:p>
    <w:p>
      <w:pPr>
        <w:keepNext/>
        <w:spacing w:after="120"/>
        <w:jc w:val="left"/>
      </w:pPr>
      <w:r>
        <w:rPr>
          <w:rFonts w:ascii="Arial" w:hAnsi="Arial"/>
          <w:b/>
          <w:color w:val="101010"/>
          <w:sz w:val="50"/>
        </w:rPr>
        <w:t>O mecanismo</w:t>
      </w:r>
    </w:p>
    <w:p>
      <w:pPr>
        <w:spacing w:after="320"/>
      </w:pPr>
      <w:r>
        <w:rPr>
          <w:rFonts w:ascii="Arial" w:hAnsi="Arial"/>
          <w:b w:val="0"/>
          <w:i w:val="0"/>
          <w:color w:val="66625C"/>
          <w:sz w:val="21"/>
        </w:rPr>
        <w:t>ENERGIA EM AÇÃO organiza a experiência em quatro movimentos.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1. Recupera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2. Ativa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3. Foca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4. Sustenta</w:t>
      </w:r>
    </w:p>
    <w:p>
      <w:r>
        <w:br w:type="page"/>
      </w:r>
    </w:p>
    <w:p>
      <w:pPr>
        <w:spacing w:before="0" w:after="160"/>
        <w:jc w:val="left"/>
      </w:pPr>
      <w:r>
        <w:rPr>
          <w:rFonts w:ascii="Arial" w:hAnsi="Arial"/>
          <w:b/>
          <w:color w:val="E84C18"/>
          <w:sz w:val="16"/>
        </w:rPr>
        <w:t>IMPARÁVEL · 05</w:t>
      </w:r>
    </w:p>
    <w:p>
      <w:pPr>
        <w:keepNext/>
        <w:spacing w:after="120"/>
        <w:jc w:val="left"/>
      </w:pPr>
      <w:r>
        <w:rPr>
          <w:rFonts w:ascii="Arial" w:hAnsi="Arial"/>
          <w:b/>
          <w:color w:val="101010"/>
          <w:sz w:val="50"/>
        </w:rPr>
        <w:t>Cinco portas para o mesmo evento</w:t>
      </w:r>
    </w:p>
    <w:p>
      <w:pPr>
        <w:spacing w:after="320"/>
      </w:pPr>
      <w:r>
        <w:rPr>
          <w:rFonts w:ascii="Arial" w:hAnsi="Arial"/>
          <w:b w:val="0"/>
          <w:i w:val="0"/>
          <w:color w:val="66625C"/>
          <w:sz w:val="21"/>
        </w:rPr>
        <w:t>A experiência é ampla; a mensagem de entrada é específica.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Empresários e gestores: pressão, liderança e decisões.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Comerciais e autónomos: consistência, influência e performance.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Profissionais em transição: clareza e próximo capítulo.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Autoliderança: padrões, confiança e consistência.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Empresas e RH: equipas, liderança emocional e execução.</w:t>
      </w:r>
    </w:p>
    <w:p>
      <w:r>
        <w:br w:type="page"/>
      </w:r>
    </w:p>
    <w:p>
      <w:pPr>
        <w:spacing w:before="0" w:after="160"/>
        <w:jc w:val="left"/>
      </w:pPr>
      <w:r>
        <w:rPr>
          <w:rFonts w:ascii="Arial" w:hAnsi="Arial"/>
          <w:b/>
          <w:color w:val="E84C18"/>
          <w:sz w:val="16"/>
        </w:rPr>
        <w:t>IMPARÁVEL · 06</w:t>
      </w:r>
    </w:p>
    <w:p>
      <w:pPr>
        <w:keepNext/>
        <w:spacing w:after="120"/>
        <w:jc w:val="left"/>
      </w:pPr>
      <w:r>
        <w:rPr>
          <w:rFonts w:ascii="Arial" w:hAnsi="Arial"/>
          <w:b/>
          <w:color w:val="101010"/>
          <w:sz w:val="50"/>
        </w:rPr>
        <w:t>A dramaturgia dos dois dias</w:t>
      </w:r>
    </w:p>
    <w:p>
      <w:pPr>
        <w:spacing w:after="320"/>
      </w:pPr>
      <w:r>
        <w:rPr>
          <w:rFonts w:ascii="Arial" w:hAnsi="Arial"/>
          <w:b w:val="0"/>
          <w:i w:val="0"/>
          <w:color w:val="66625C"/>
          <w:sz w:val="21"/>
        </w:rPr>
        <w:t>O primeiro dia torna o padrão impossível de ignorar; o segundo transforma energia em sistema.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Dia 1 - rutura: estado, padrão, custo e primeira decisão.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Dia 2 - comando: método, protocolo, simulação e plano.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Todas as dinâmicas preservam autonomia, acessibilidade e alternativas à exposição.</w:t>
      </w:r>
    </w:p>
    <w:p>
      <w:r>
        <w:br w:type="page"/>
      </w:r>
    </w:p>
    <w:p>
      <w:pPr>
        <w:spacing w:before="0" w:after="160"/>
        <w:jc w:val="left"/>
      </w:pPr>
      <w:r>
        <w:rPr>
          <w:rFonts w:ascii="Arial" w:hAnsi="Arial"/>
          <w:b/>
          <w:color w:val="E84C18"/>
          <w:sz w:val="16"/>
        </w:rPr>
        <w:t>IMPARÁVEL · 07</w:t>
      </w:r>
    </w:p>
    <w:p>
      <w:pPr>
        <w:keepNext/>
        <w:spacing w:after="120"/>
        <w:jc w:val="left"/>
      </w:pPr>
      <w:r>
        <w:rPr>
          <w:rFonts w:ascii="Arial" w:hAnsi="Arial"/>
          <w:b/>
          <w:color w:val="101010"/>
          <w:sz w:val="50"/>
        </w:rPr>
        <w:t>O que fica na mão</w:t>
      </w:r>
    </w:p>
    <w:p>
      <w:pPr>
        <w:spacing w:after="320"/>
      </w:pPr>
      <w:r>
        <w:rPr>
          <w:rFonts w:ascii="Arial" w:hAnsi="Arial"/>
          <w:b w:val="0"/>
          <w:i w:val="0"/>
          <w:color w:val="66625C"/>
          <w:sz w:val="21"/>
        </w:rPr>
        <w:t>Três objetos atravessam a distância entre palco e vida real.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Auditoria de Energia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Protocolo Pessoal sob Pressão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Sistema de Seis Semanas</w:t>
      </w:r>
    </w:p>
    <w:p>
      <w:r>
        <w:br w:type="page"/>
      </w:r>
    </w:p>
    <w:p>
      <w:pPr>
        <w:spacing w:before="0" w:after="160"/>
        <w:jc w:val="left"/>
      </w:pPr>
      <w:r>
        <w:rPr>
          <w:rFonts w:ascii="Arial" w:hAnsi="Arial"/>
          <w:b/>
          <w:color w:val="E84C18"/>
          <w:sz w:val="16"/>
        </w:rPr>
        <w:t>IMPARÁVEL · 08</w:t>
      </w:r>
    </w:p>
    <w:p>
      <w:pPr>
        <w:keepNext/>
        <w:spacing w:after="120"/>
        <w:jc w:val="left"/>
      </w:pPr>
      <w:r>
        <w:rPr>
          <w:rFonts w:ascii="Arial" w:hAnsi="Arial"/>
          <w:b/>
          <w:color w:val="101010"/>
          <w:sz w:val="50"/>
        </w:rPr>
        <w:t>Integração pós-evento</w:t>
      </w:r>
    </w:p>
    <w:p>
      <w:pPr>
        <w:spacing w:after="320"/>
      </w:pPr>
      <w:r>
        <w:rPr>
          <w:rFonts w:ascii="Arial" w:hAnsi="Arial"/>
          <w:b w:val="0"/>
          <w:i w:val="0"/>
          <w:color w:val="66625C"/>
          <w:sz w:val="21"/>
        </w:rPr>
        <w:t>6 semanas, 22 aulas e desafios educativos de consolidação.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Onboarding e preparação.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Cadência de implementação e resgate.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Medição de comportamento, presença e NPS.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Candidatura opcional à implementação de 90 dias.</w:t>
      </w:r>
    </w:p>
    <w:p>
      <w:r>
        <w:br w:type="page"/>
      </w:r>
    </w:p>
    <w:p>
      <w:pPr>
        <w:spacing w:before="0" w:after="160"/>
        <w:jc w:val="left"/>
      </w:pPr>
      <w:r>
        <w:rPr>
          <w:rFonts w:ascii="Arial" w:hAnsi="Arial"/>
          <w:b/>
          <w:color w:val="E84C18"/>
          <w:sz w:val="16"/>
        </w:rPr>
        <w:t>IMPARÁVEL · 09</w:t>
      </w:r>
    </w:p>
    <w:p>
      <w:pPr>
        <w:keepNext/>
        <w:spacing w:after="120"/>
        <w:jc w:val="left"/>
      </w:pPr>
      <w:r>
        <w:rPr>
          <w:rFonts w:ascii="Arial" w:hAnsi="Arial"/>
          <w:b/>
          <w:color w:val="101010"/>
          <w:sz w:val="50"/>
        </w:rPr>
        <w:t>Posicionamento do fundador</w:t>
      </w:r>
    </w:p>
    <w:p>
      <w:pPr>
        <w:spacing w:after="320"/>
      </w:pPr>
      <w:r>
        <w:rPr>
          <w:rFonts w:ascii="Arial" w:hAnsi="Arial"/>
          <w:b w:val="0"/>
          <w:i w:val="0"/>
          <w:color w:val="66625C"/>
          <w:sz w:val="21"/>
        </w:rPr>
        <w:t>Lucas é apresentado como empresário e arquiteto de sistemas de comportamento, negociação e execução.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Não é posicionado como guru ou autoridade clínica.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Biografia, cargos, números e resultados só entram após prova documental.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A referência de escala serve a dramaturgia; identidade e exercícios são originais.</w:t>
      </w:r>
    </w:p>
    <w:p>
      <w:r>
        <w:br w:type="page"/>
      </w:r>
    </w:p>
    <w:p>
      <w:pPr>
        <w:spacing w:before="0" w:after="160"/>
        <w:jc w:val="left"/>
      </w:pPr>
      <w:r>
        <w:rPr>
          <w:rFonts w:ascii="Arial" w:hAnsi="Arial"/>
          <w:b/>
          <w:color w:val="E84C18"/>
          <w:sz w:val="16"/>
        </w:rPr>
        <w:t>IMPARÁVEL · 10</w:t>
      </w:r>
    </w:p>
    <w:p>
      <w:pPr>
        <w:keepNext/>
        <w:spacing w:after="120"/>
        <w:jc w:val="left"/>
      </w:pPr>
      <w:r>
        <w:rPr>
          <w:rFonts w:ascii="Arial" w:hAnsi="Arial"/>
          <w:b/>
          <w:color w:val="101010"/>
          <w:sz w:val="50"/>
        </w:rPr>
        <w:t>Fact sheet</w:t>
      </w:r>
    </w:p>
    <w:p>
      <w:pPr>
        <w:spacing w:after="320"/>
      </w:pPr>
      <w:r>
        <w:rPr>
          <w:rFonts w:ascii="Arial" w:hAnsi="Arial"/>
          <w:b w:val="0"/>
          <w:i w:val="0"/>
          <w:color w:val="66625C"/>
          <w:sz w:val="21"/>
        </w:rPr>
        <w:t>Informação pronta para produção editorial.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4C18"/>
          </w:tcPr>
          <w:p>
            <w:r>
              <w:rPr>
                <w:rFonts w:ascii="Arial" w:hAnsi="Arial"/>
                <w:b/>
                <w:color w:val="FFFFFF"/>
                <w:sz w:val="16"/>
              </w:rPr>
              <w:t>CAMPO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4C18"/>
          </w:tcPr>
          <w:p>
            <w:r>
              <w:rPr>
                <w:rFonts w:ascii="Arial" w:hAnsi="Arial"/>
                <w:b/>
                <w:color w:val="FFFFFF"/>
                <w:sz w:val="16"/>
              </w:rPr>
              <w:t>INFORMAÇÃO</w:t>
            </w:r>
          </w:p>
        </w:tc>
      </w:tr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rial" w:hAnsi="Arial"/>
                <w:b/>
                <w:color w:val="101010"/>
                <w:sz w:val="18"/>
              </w:rPr>
              <w:t>Formato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rial" w:hAnsi="Arial"/>
                <w:color w:val="101010"/>
                <w:sz w:val="18"/>
              </w:rPr>
              <w:t>Imersão presencial de dois dias + integração digital</w:t>
            </w:r>
          </w:p>
        </w:tc>
      </w:tr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rial" w:hAnsi="Arial"/>
                <w:b/>
                <w:color w:val="101010"/>
                <w:sz w:val="18"/>
              </w:rPr>
              <w:t>Edição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rial" w:hAnsi="Arial"/>
                <w:color w:val="101010"/>
                <w:sz w:val="18"/>
              </w:rPr>
              <w:t>A anunciar após confirmação de data, recinto e capacidade</w:t>
            </w:r>
          </w:p>
        </w:tc>
      </w:tr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rial" w:hAnsi="Arial"/>
                <w:b/>
                <w:color w:val="101010"/>
                <w:sz w:val="18"/>
              </w:rPr>
              <w:t>Método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rial" w:hAnsi="Arial"/>
                <w:color w:val="101010"/>
                <w:sz w:val="18"/>
              </w:rPr>
              <w:t>ENERGIA EM AÇÃO</w:t>
            </w:r>
          </w:p>
        </w:tc>
      </w:tr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rial" w:hAnsi="Arial"/>
                <w:b/>
                <w:color w:val="101010"/>
                <w:sz w:val="18"/>
              </w:rPr>
              <w:t>Objetos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rial" w:hAnsi="Arial"/>
                <w:color w:val="101010"/>
                <w:sz w:val="18"/>
              </w:rPr>
              <w:t>Auditoria de Energia; Protocolo Pessoal sob Pressão; Sistema de Seis Semanas</w:t>
            </w:r>
          </w:p>
        </w:tc>
      </w:tr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rial" w:hAnsi="Arial"/>
                <w:b/>
                <w:color w:val="101010"/>
                <w:sz w:val="18"/>
              </w:rPr>
              <w:t>Integração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rial" w:hAnsi="Arial"/>
                <w:color w:val="101010"/>
                <w:sz w:val="18"/>
              </w:rPr>
              <w:t>6 semanas, 22 aulas e desafios educativos de consolidação.</w:t>
            </w:r>
          </w:p>
        </w:tc>
      </w:tr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rial" w:hAnsi="Arial"/>
                <w:b/>
                <w:color w:val="101010"/>
                <w:sz w:val="18"/>
              </w:rPr>
              <w:t>Públicos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rial" w:hAnsi="Arial"/>
                <w:color w:val="101010"/>
                <w:sz w:val="18"/>
              </w:rPr>
              <w:t>Empresários; comerciais; transição; autoliderança; empresas/RH</w:t>
            </w:r>
          </w:p>
        </w:tc>
      </w:tr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rial" w:hAnsi="Arial"/>
                <w:b/>
                <w:color w:val="101010"/>
                <w:sz w:val="18"/>
              </w:rPr>
              <w:t>Provas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rial" w:hAnsi="Arial"/>
                <w:color w:val="101010"/>
                <w:sz w:val="18"/>
              </w:rPr>
              <w:t>Apenas piloto e testemunhos reais, autorizados e documentados</w:t>
            </w:r>
          </w:p>
        </w:tc>
      </w:tr>
    </w:tbl>
    <w:p>
      <w:r>
        <w:br w:type="page"/>
      </w:r>
    </w:p>
    <w:p>
      <w:pPr>
        <w:spacing w:before="0" w:after="160"/>
        <w:jc w:val="left"/>
      </w:pPr>
      <w:r>
        <w:rPr>
          <w:rFonts w:ascii="Arial" w:hAnsi="Arial"/>
          <w:b/>
          <w:color w:val="E84C18"/>
          <w:sz w:val="16"/>
        </w:rPr>
        <w:t>IMPARÁVEL · 11</w:t>
      </w:r>
    </w:p>
    <w:p>
      <w:pPr>
        <w:keepNext/>
        <w:spacing w:after="120"/>
        <w:jc w:val="left"/>
      </w:pPr>
      <w:r>
        <w:rPr>
          <w:rFonts w:ascii="Arial" w:hAnsi="Arial"/>
          <w:b/>
          <w:color w:val="101010"/>
          <w:sz w:val="50"/>
        </w:rPr>
        <w:t>Ângulos e perguntas</w:t>
      </w:r>
    </w:p>
    <w:p>
      <w:pPr>
        <w:spacing w:after="320"/>
      </w:pPr>
      <w:r>
        <w:rPr>
          <w:rFonts w:ascii="Arial" w:hAnsi="Arial"/>
          <w:b w:val="0"/>
          <w:i w:val="0"/>
          <w:color w:val="66625C"/>
          <w:sz w:val="21"/>
        </w:rPr>
        <w:t>Pistas para entrevistas sem depender de promessa sensacionalista.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Porque motivação isolada falha quando o estado não muda?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Como transformar uma decisão emocional num plano de 90 dias?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O que distingue participação de exposição forçada?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Como se mede uma experiência sem prometer resultados?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Que papel tem o piloto na segurança e qualidade da edição principal?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E2D9"/>
          </w:tcPr>
          <w:p>
            <w:pPr>
              <w:spacing w:after="80"/>
            </w:pPr>
            <w:r>
              <w:rPr>
                <w:rFonts w:ascii="Arial" w:hAnsi="Arial"/>
                <w:b/>
                <w:color w:val="E84C18"/>
                <w:sz w:val="16"/>
              </w:rPr>
              <w:t>NOTA EDITORIAL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color w:val="101010"/>
                <w:sz w:val="22"/>
              </w:rPr>
              <w:t>Nomes, datas, números, porta-voz e contactos só podem ser acrescentados depois de validação e prova. Não usar campos inventados para simular uma edição confirmada.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before="0" w:after="160"/>
        <w:jc w:val="left"/>
      </w:pPr>
      <w:r>
        <w:rPr>
          <w:rFonts w:ascii="Arial" w:hAnsi="Arial"/>
          <w:b/>
          <w:color w:val="E84C18"/>
          <w:sz w:val="16"/>
        </w:rPr>
        <w:t>IMPARÁVEL · 12</w:t>
      </w:r>
    </w:p>
    <w:p>
      <w:pPr>
        <w:keepNext/>
        <w:spacing w:after="120"/>
        <w:jc w:val="left"/>
      </w:pPr>
      <w:r>
        <w:rPr>
          <w:rFonts w:ascii="Arial" w:hAnsi="Arial"/>
          <w:b/>
          <w:color w:val="101010"/>
          <w:sz w:val="50"/>
        </w:rPr>
        <w:t>Comunicado 1 - Manifesto</w:t>
      </w:r>
    </w:p>
    <w:p>
      <w:pPr>
        <w:spacing w:after="320"/>
      </w:pPr>
      <w:r>
        <w:rPr>
          <w:rFonts w:ascii="Arial" w:hAnsi="Arial"/>
          <w:b w:val="0"/>
          <w:i w:val="0"/>
          <w:color w:val="66625C"/>
          <w:sz w:val="21"/>
        </w:rPr>
        <w:t>IMPARÁVEL prepara uma nova imersão presencial de dois dias em Portugal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A Linha ARENA apresenta o conceito de IMPARÁVEL, a imersão de energia, foco e ritmo sustentável. Em dois dias, mapear fugas de energia, testar protocolos curtos de estado e sair com um sistema diário de recuperação, foco e execução.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O projeto assenta no método ENERGIA EM AÇÃO e entrega três objetos de implementação: Auditoria de Energia, Protocolo Pessoal sob Pressão, Sistema de Seis Semanas.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Data, local, capacidade e condições de bilhete serão anunciados apenas após confirmação operacional. A organização não utiliza lotação, testemunhos ou resultados fictícios.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E2D9"/>
          </w:tcPr>
          <w:p>
            <w:pPr>
              <w:spacing w:after="80"/>
            </w:pPr>
            <w:r>
              <w:rPr>
                <w:rFonts w:ascii="Arial" w:hAnsi="Arial"/>
                <w:b/>
                <w:color w:val="E84C18"/>
                <w:sz w:val="16"/>
              </w:rPr>
              <w:t>NOTA EDITORIAL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color w:val="101010"/>
                <w:sz w:val="22"/>
              </w:rPr>
              <w:t>Nomes, datas, números, porta-voz e contactos só podem ser acrescentados depois de validação e prova. Não usar campos inventados para simular uma edição confirmada.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before="0" w:after="160"/>
        <w:jc w:val="left"/>
      </w:pPr>
      <w:r>
        <w:rPr>
          <w:rFonts w:ascii="Arial" w:hAnsi="Arial"/>
          <w:b/>
          <w:color w:val="E84C18"/>
          <w:sz w:val="16"/>
        </w:rPr>
        <w:t>IMPARÁVEL · 13</w:t>
      </w:r>
    </w:p>
    <w:p>
      <w:pPr>
        <w:keepNext/>
        <w:spacing w:after="120"/>
        <w:jc w:val="left"/>
      </w:pPr>
      <w:r>
        <w:rPr>
          <w:rFonts w:ascii="Arial" w:hAnsi="Arial"/>
          <w:b/>
          <w:color w:val="101010"/>
          <w:sz w:val="50"/>
        </w:rPr>
        <w:t>Comunicado 2 - Piloto</w:t>
      </w:r>
    </w:p>
    <w:p>
      <w:pPr>
        <w:spacing w:after="320"/>
      </w:pPr>
      <w:r>
        <w:rPr>
          <w:rFonts w:ascii="Arial" w:hAnsi="Arial"/>
          <w:b w:val="0"/>
          <w:i w:val="0"/>
          <w:color w:val="66625C"/>
          <w:sz w:val="21"/>
        </w:rPr>
        <w:t>IMPARÁVEL realizará piloto presencial antes da campanha principal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A sessão reunirá 30 a 50 participantes reais para testar conteúdo, tempos, segurança, acessibilidade, experiência e capacidade de equipa.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O piloto não será usado para fabricar prova. Testemunhos e imagens identificáveis exigirão autorização própria; participantes poderão escolher alternativas de captação.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O avanço para escala dependerá do scorecard operacional, de satisfação e segurança.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E2D9"/>
          </w:tcPr>
          <w:p>
            <w:pPr>
              <w:spacing w:after="80"/>
            </w:pPr>
            <w:r>
              <w:rPr>
                <w:rFonts w:ascii="Arial" w:hAnsi="Arial"/>
                <w:b/>
                <w:color w:val="E84C18"/>
                <w:sz w:val="16"/>
              </w:rPr>
              <w:t>NOTA EDITORIAL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color w:val="101010"/>
                <w:sz w:val="22"/>
              </w:rPr>
              <w:t>Nomes, datas, números, porta-voz e contactos só podem ser acrescentados depois de validação e prova. Não usar campos inventados para simular uma edição confirmada.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before="0" w:after="160"/>
        <w:jc w:val="left"/>
      </w:pPr>
      <w:r>
        <w:rPr>
          <w:rFonts w:ascii="Arial" w:hAnsi="Arial"/>
          <w:b/>
          <w:color w:val="E84C18"/>
          <w:sz w:val="16"/>
        </w:rPr>
        <w:t>IMPARÁVEL · 14</w:t>
      </w:r>
    </w:p>
    <w:p>
      <w:pPr>
        <w:keepNext/>
        <w:spacing w:after="120"/>
        <w:jc w:val="left"/>
      </w:pPr>
      <w:r>
        <w:rPr>
          <w:rFonts w:ascii="Arial" w:hAnsi="Arial"/>
          <w:b/>
          <w:color w:val="101010"/>
          <w:sz w:val="50"/>
        </w:rPr>
        <w:t>Comunicado 3 - Abertura</w:t>
      </w:r>
    </w:p>
    <w:p>
      <w:pPr>
        <w:spacing w:after="320"/>
      </w:pPr>
      <w:r>
        <w:rPr>
          <w:rFonts w:ascii="Arial" w:hAnsi="Arial"/>
          <w:b w:val="0"/>
          <w:i w:val="0"/>
          <w:color w:val="66625C"/>
          <w:sz w:val="21"/>
        </w:rPr>
        <w:t>IMPARÁVEL abrirá bilhetes depois dos gates de produção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A abertura só acontece com data, recinto, preço total, inventário, termos, pagamentos e apoio confirmados.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O modelo comercial prevê níveis Essencial, Premium e Círculo VIP, sujeitos a validação final.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Pedidos de imprensa e parcerias seguem por canais próprios, com atribuição e autorizações documentadas.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E2D9"/>
          </w:tcPr>
          <w:p>
            <w:pPr>
              <w:spacing w:after="80"/>
            </w:pPr>
            <w:r>
              <w:rPr>
                <w:rFonts w:ascii="Arial" w:hAnsi="Arial"/>
                <w:b/>
                <w:color w:val="E84C18"/>
                <w:sz w:val="16"/>
              </w:rPr>
              <w:t>NOTA EDITORIAL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color w:val="101010"/>
                <w:sz w:val="22"/>
              </w:rPr>
              <w:t>Nomes, datas, números, porta-voz e contactos só podem ser acrescentados depois de validação e prova. Não usar campos inventados para simular uma edição confirmada.</w:t>
            </w:r>
          </w:p>
        </w:tc>
      </w:tr>
    </w:tbl>
    <w:p>
      <w:pPr>
        <w:spacing w:after="4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/>
        <w:b/>
        <w:color w:val="66625C"/>
        <w:sz w:val="16"/>
      </w:rPr>
      <w:t xml:space="preserve">ATANAZIO FORMAÇÃO · PORTUGAL   |   </w:t>
    </w:r>
    <w:r>
      <w:rPr>
        <w:rFonts w:ascii="Arial" w:hAnsi="Arial"/>
        <w:color w:val="66625C"/>
        <w:sz w:val="16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Arial" w:hAnsi="Arial"/>
        <w:b/>
        <w:color w:val="66625C"/>
        <w:sz w:val="16"/>
      </w:rPr>
      <w:t>IMPARÁVEL · MEDIA KIT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93" w:lineRule="auto"/>
    </w:pPr>
    <w:rPr>
      <w:rFonts w:ascii="Arial" w:hAnsi="Arial"/>
      <w:color w:val="10101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59" w:lineRule="auto"/>
      <w:outlineLvl w:val="0"/>
    </w:pPr>
    <w:rPr>
      <w:rFonts w:asciiTheme="majorHAnsi" w:eastAsiaTheme="majorEastAsia" w:hAnsiTheme="majorHAnsi" w:cstheme="majorBidi" w:ascii="Arial" w:hAnsi="Arial"/>
      <w:b/>
      <w:bCs/>
      <w:color w:val="E84C18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59" w:lineRule="auto"/>
      <w:outlineLvl w:val="1"/>
    </w:pPr>
    <w:rPr>
      <w:rFonts w:asciiTheme="majorHAnsi" w:eastAsiaTheme="majorEastAsia" w:hAnsiTheme="majorHAnsi" w:cstheme="majorBidi" w:ascii="Arial" w:hAnsi="Arial"/>
      <w:b/>
      <w:bCs/>
      <w:color w:val="E84C18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59" w:lineRule="auto"/>
      <w:outlineLvl w:val="2"/>
    </w:pPr>
    <w:rPr>
      <w:rFonts w:asciiTheme="majorHAnsi" w:eastAsiaTheme="majorEastAsia" w:hAnsiTheme="majorHAnsi" w:cstheme="majorBidi" w:ascii="Arial" w:hAnsi="Arial"/>
      <w:b/>
      <w:bCs/>
      <w:color w:val="10101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00" w:line="259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101010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360" w:line="259" w:lineRule="auto"/>
    </w:pPr>
    <w:rPr>
      <w:rFonts w:asciiTheme="majorHAnsi" w:eastAsiaTheme="majorEastAsia" w:hAnsiTheme="majorHAnsi" w:cstheme="majorBidi" w:ascii="Arial" w:hAnsi="Arial"/>
      <w:b w:val="0"/>
      <w:i/>
      <w:iCs/>
      <w:color w:val="66625C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293" w:lineRule="auto"/>
      <w:ind w:left="540" w:hanging="271"/>
      <w:contextualSpacing/>
    </w:pPr>
    <w:rPr>
      <w:rFonts w:ascii="Arial" w:hAnsi="Arial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293" w:lineRule="auto"/>
      <w:ind w:left="540" w:hanging="271"/>
      <w:contextualSpacing/>
    </w:pPr>
    <w:rPr>
      <w:rFonts w:ascii="Arial" w:hAnsi="Arial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IMPARÁVEL · Media kit</dc:title>
  <dc:subject>Sistema integral de lançamento</dc:subject>
  <dc:creator>Linha ARENA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